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BE" w:rsidRDefault="009571BE" w:rsidP="009571BE">
      <w:pPr>
        <w:pStyle w:val="2"/>
        <w:shd w:val="clear" w:color="auto" w:fill="auto"/>
        <w:spacing w:before="0" w:after="0" w:line="276" w:lineRule="auto"/>
        <w:ind w:right="-439"/>
        <w:rPr>
          <w:sz w:val="24"/>
          <w:szCs w:val="24"/>
        </w:rPr>
      </w:pPr>
      <w:r w:rsidRPr="004B6DCF">
        <w:rPr>
          <w:sz w:val="24"/>
          <w:szCs w:val="24"/>
        </w:rPr>
        <w:t>ПАСПОРТ УСЛУГИ</w:t>
      </w:r>
      <w:r>
        <w:rPr>
          <w:sz w:val="24"/>
          <w:szCs w:val="24"/>
        </w:rPr>
        <w:t xml:space="preserve"> </w:t>
      </w:r>
      <w:r w:rsidRPr="004B6DCF">
        <w:rPr>
          <w:sz w:val="24"/>
          <w:szCs w:val="24"/>
        </w:rPr>
        <w:t xml:space="preserve"> (ПРОЦЕССА)</w:t>
      </w:r>
    </w:p>
    <w:p w:rsidR="009571BE" w:rsidRPr="004B6DCF" w:rsidRDefault="009571BE" w:rsidP="009571BE">
      <w:pPr>
        <w:pStyle w:val="2"/>
        <w:shd w:val="clear" w:color="auto" w:fill="auto"/>
        <w:spacing w:before="0" w:after="6" w:line="276" w:lineRule="auto"/>
        <w:ind w:right="-439"/>
        <w:rPr>
          <w:sz w:val="24"/>
          <w:szCs w:val="24"/>
        </w:rPr>
      </w:pPr>
      <w:r>
        <w:rPr>
          <w:sz w:val="24"/>
          <w:szCs w:val="24"/>
        </w:rPr>
        <w:t xml:space="preserve">ЗАО </w:t>
      </w:r>
      <w:r w:rsidRPr="004B6DCF">
        <w:rPr>
          <w:sz w:val="24"/>
          <w:szCs w:val="24"/>
        </w:rPr>
        <w:t>«Н</w:t>
      </w:r>
      <w:r>
        <w:rPr>
          <w:sz w:val="24"/>
          <w:szCs w:val="24"/>
        </w:rPr>
        <w:t>ЕРЮНГРИНСКИЕ РАЙОННЫЕ ЭЛЕКТРИЧЕСКИЕ СЕТИ</w:t>
      </w:r>
      <w:r w:rsidRPr="004B6DCF">
        <w:rPr>
          <w:sz w:val="24"/>
          <w:szCs w:val="24"/>
        </w:rPr>
        <w:t>»</w:t>
      </w:r>
    </w:p>
    <w:p w:rsidR="0061450F" w:rsidRDefault="0061450F" w:rsidP="006145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66A67" w:rsidRPr="0061450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</w:t>
      </w:r>
      <w:proofErr w:type="spellStart"/>
      <w:r w:rsidR="00B66A67" w:rsidRPr="0061450F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="00B66A67" w:rsidRPr="0061450F">
        <w:rPr>
          <w:rFonts w:ascii="Times New Roman" w:hAnsi="Times New Roman" w:cs="Times New Roman"/>
          <w:b/>
          <w:sz w:val="24"/>
          <w:szCs w:val="24"/>
        </w:rPr>
        <w:t xml:space="preserve"> устройств заявителей:</w:t>
      </w:r>
      <w:r w:rsidR="00570F65" w:rsidRPr="006145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0B1" w:rsidRPr="0061450F">
        <w:rPr>
          <w:rFonts w:ascii="Times New Roman" w:eastAsia="Calibri" w:hAnsi="Times New Roman" w:cs="Times New Roman"/>
          <w:b/>
          <w:sz w:val="24"/>
          <w:szCs w:val="24"/>
        </w:rPr>
        <w:t xml:space="preserve">лица, не относящиеся 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0F65" w:rsidRDefault="0061450F" w:rsidP="006145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860B1" w:rsidRPr="0061450F">
        <w:rPr>
          <w:rFonts w:ascii="Times New Roman" w:eastAsia="Calibri" w:hAnsi="Times New Roman" w:cs="Times New Roman"/>
          <w:b/>
          <w:sz w:val="24"/>
          <w:szCs w:val="24"/>
        </w:rPr>
        <w:t>категории заявителей перечисленных в п. 12(1), 14, 13 Правил.</w:t>
      </w:r>
    </w:p>
    <w:p w:rsidR="0061450F" w:rsidRPr="0061450F" w:rsidRDefault="0061450F" w:rsidP="0061450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F65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D860B1">
        <w:rPr>
          <w:rFonts w:ascii="Times New Roman" w:hAnsi="Times New Roman" w:cs="Times New Roman"/>
          <w:sz w:val="24"/>
          <w:szCs w:val="24"/>
        </w:rPr>
        <w:t xml:space="preserve"> </w:t>
      </w:r>
      <w:r w:rsidR="00D860B1" w:rsidRPr="00D860B1">
        <w:rPr>
          <w:rFonts w:ascii="Times New Roman" w:eastAsia="Calibri" w:hAnsi="Times New Roman" w:cs="Times New Roman"/>
          <w:sz w:val="24"/>
          <w:szCs w:val="24"/>
        </w:rPr>
        <w:t>лица, не относящиеся к категории заявителей перечисленных в п. 12(1), 14, 13 Правил.</w:t>
      </w:r>
    </w:p>
    <w:p w:rsidR="003C0A4D" w:rsidRPr="00B31501" w:rsidRDefault="003C0A4D" w:rsidP="003C0A4D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действующего </w:t>
      </w:r>
      <w:bookmarkStart w:id="0" w:name="_GoBack"/>
      <w:r w:rsidR="00B31501" w:rsidRPr="00B31501">
        <w:rPr>
          <w:rFonts w:ascii="Times New Roman" w:hAnsi="Times New Roman" w:cs="Times New Roman"/>
        </w:rPr>
        <w:t>ГКЦ РС (Я) № 389 от 27.12.16 г.</w:t>
      </w:r>
    </w:p>
    <w:bookmarkEnd w:id="0"/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  <w:r w:rsidR="00B66A67">
        <w:rPr>
          <w:rFonts w:ascii="Times New Roman" w:hAnsi="Times New Roman" w:cs="Times New Roman"/>
          <w:sz w:val="24"/>
          <w:szCs w:val="24"/>
        </w:rPr>
        <w:t xml:space="preserve">выполнение сторонами мероприятий по технологическому присоединению, предусмотренными </w:t>
      </w:r>
      <w:r w:rsidR="0082096F">
        <w:rPr>
          <w:rFonts w:ascii="Times New Roman" w:hAnsi="Times New Roman" w:cs="Times New Roman"/>
          <w:sz w:val="24"/>
          <w:szCs w:val="24"/>
        </w:rPr>
        <w:t>Постановлением Правительства РФ №861 от 27.12.2014г.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328A4">
        <w:rPr>
          <w:rFonts w:ascii="Times New Roman" w:hAnsi="Times New Roman" w:cs="Times New Roman"/>
          <w:sz w:val="24"/>
          <w:szCs w:val="24"/>
        </w:rPr>
        <w:t xml:space="preserve"> </w:t>
      </w:r>
      <w:r w:rsidR="0082096F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7768E3">
        <w:rPr>
          <w:rFonts w:ascii="Times New Roman" w:hAnsi="Times New Roman" w:cs="Times New Roman"/>
          <w:sz w:val="24"/>
          <w:szCs w:val="24"/>
        </w:rPr>
        <w:t>1-2</w:t>
      </w:r>
      <w:r w:rsidR="0082096F">
        <w:rPr>
          <w:rFonts w:ascii="Times New Roman" w:hAnsi="Times New Roman" w:cs="Times New Roman"/>
          <w:sz w:val="24"/>
          <w:szCs w:val="24"/>
        </w:rPr>
        <w:t xml:space="preserve"> </w:t>
      </w:r>
      <w:r w:rsidR="007768E3">
        <w:rPr>
          <w:rFonts w:ascii="Times New Roman" w:hAnsi="Times New Roman" w:cs="Times New Roman"/>
          <w:sz w:val="24"/>
          <w:szCs w:val="24"/>
        </w:rPr>
        <w:t>года</w:t>
      </w:r>
      <w:r w:rsidR="00BF6502">
        <w:rPr>
          <w:rFonts w:ascii="Times New Roman" w:hAnsi="Times New Roman" w:cs="Times New Roman"/>
          <w:sz w:val="24"/>
          <w:szCs w:val="24"/>
        </w:rPr>
        <w:t>,</w:t>
      </w:r>
      <w:r w:rsidR="0082096F">
        <w:rPr>
          <w:rFonts w:ascii="Times New Roman" w:hAnsi="Times New Roman" w:cs="Times New Roman"/>
          <w:sz w:val="24"/>
          <w:szCs w:val="24"/>
        </w:rPr>
        <w:t xml:space="preserve"> с даты принятия заявки на технологическое присоединение</w:t>
      </w:r>
      <w:r w:rsidRPr="000328A4">
        <w:rPr>
          <w:rFonts w:ascii="Times New Roman" w:hAnsi="Times New Roman" w:cs="Times New Roman"/>
          <w:sz w:val="24"/>
          <w:szCs w:val="24"/>
        </w:rPr>
        <w:t>.</w:t>
      </w:r>
    </w:p>
    <w:p w:rsidR="000328A4" w:rsidRPr="000328A4" w:rsidRDefault="000328A4" w:rsidP="000328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8A4" w:rsidRPr="004D20E8" w:rsidRDefault="000328A4" w:rsidP="008B0B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D20E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0328A4" w:rsidRPr="008B0BA5" w:rsidRDefault="000328A4" w:rsidP="008B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4820"/>
        <w:gridCol w:w="2409"/>
        <w:gridCol w:w="2552"/>
        <w:gridCol w:w="1860"/>
      </w:tblGrid>
      <w:tr w:rsidR="000328A4" w:rsidRPr="00742404" w:rsidTr="0000193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328A4" w:rsidRPr="009A399F" w:rsidRDefault="000328A4" w:rsidP="00001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99F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DB553D" w:rsidP="00000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заявки на технологическое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4FFA" w:rsidRPr="00742404" w:rsidRDefault="00294FFA" w:rsidP="009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предусмотренных п. </w:t>
            </w:r>
            <w:r w:rsidR="007768E3">
              <w:rPr>
                <w:rFonts w:ascii="Times New Roman" w:hAnsi="Times New Roman" w:cs="Times New Roman"/>
                <w:sz w:val="20"/>
                <w:szCs w:val="20"/>
              </w:rPr>
              <w:t>9 и 10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Правил в заявке на технологическое присоединение. </w:t>
            </w:r>
          </w:p>
          <w:p w:rsidR="00294FFA" w:rsidRPr="00742404" w:rsidRDefault="00294FFA" w:rsidP="009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53D" w:rsidRPr="00DB553D" w:rsidRDefault="00294FFA" w:rsidP="009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553D" w:rsidRPr="00DB55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328A4" w:rsidRPr="00742404" w:rsidRDefault="000328A4" w:rsidP="009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A40255" w:rsidRDefault="00294FFA" w:rsidP="009E6A2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направляется заявителем в сетевую организацию в 2 экземплярах письмом с описью вложения почтой, лично или через </w:t>
            </w:r>
            <w:r w:rsidR="009E6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полномоченного представителя</w:t>
            </w:r>
            <w:r w:rsidR="00A40255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28A4" w:rsidRPr="00A40255" w:rsidRDefault="00A40255" w:rsidP="009E6A29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н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официальном сайте сетевой организации</w:t>
            </w:r>
            <w:r w:rsidR="00844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6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нрэс</w:t>
            </w:r>
            <w:r w:rsidR="00294FFA" w:rsidRPr="00A40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.рф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D8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Время на прием заявки на технологическое присоединение – 30 минут.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в заявке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сведений, а также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присоединения Заявитель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уведомляется об этом в</w:t>
            </w:r>
          </w:p>
          <w:p w:rsidR="00742404" w:rsidRPr="00742404" w:rsidRDefault="00742404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течение 6 рабочих дней</w:t>
            </w:r>
            <w:r w:rsidR="00DB11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0328A4" w:rsidRPr="00742404" w:rsidRDefault="00742404" w:rsidP="00D8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даты получения заявки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404" w:rsidRPr="00742404" w:rsidRDefault="00742404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0328A4" w:rsidRPr="00742404" w:rsidRDefault="00742404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328A4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28A4" w:rsidRPr="00742404" w:rsidRDefault="000328A4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направление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проекта договора об</w:t>
            </w:r>
          </w:p>
          <w:p w:rsidR="00A40255" w:rsidRPr="00CD2248" w:rsidRDefault="00A40255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осуществлении технологическог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 и технических</w:t>
            </w:r>
          </w:p>
          <w:p w:rsidR="000328A4" w:rsidRPr="00CD2248" w:rsidRDefault="00A40255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  <w:r w:rsidR="00A40255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всех предусмотренными Правилами сведений в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технологическое присоединение.  </w:t>
            </w:r>
          </w:p>
          <w:p w:rsidR="00A40255" w:rsidRPr="00CD2248" w:rsidRDefault="00A40255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8A4" w:rsidRPr="00CD2248" w:rsidRDefault="000328A4" w:rsidP="009E6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A40255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Направляются по почте</w:t>
            </w:r>
          </w:p>
          <w:p w:rsidR="000328A4" w:rsidRPr="00CD2248" w:rsidRDefault="00A40255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либо Заявитель/ поручитель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получает лично в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C656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 xml:space="preserve"> «Н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  <w:r w:rsidR="00CD224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255" w:rsidRPr="00CD2248" w:rsidRDefault="009D605A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40255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дней с даты получения</w:t>
            </w:r>
          </w:p>
          <w:p w:rsidR="000328A4" w:rsidRPr="00CD2248" w:rsidRDefault="00A40255" w:rsidP="00D8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заявки на технологическое</w:t>
            </w:r>
            <w:r w:rsidR="00CD2248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присоединение</w:t>
            </w:r>
            <w:r w:rsidR="00844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0328A4" w:rsidRPr="00742404" w:rsidRDefault="00CD2248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или</w:t>
            </w:r>
          </w:p>
          <w:p w:rsidR="00CD2248" w:rsidRPr="00CD2248" w:rsidRDefault="00CD2248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направление мотивированног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CD2248" w:rsidRPr="00CD2248" w:rsidRDefault="00CD2248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 считается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заключенным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заявителем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экземпляра договора в</w:t>
            </w:r>
            <w:r w:rsidR="003C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НРЭС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Направляется по почте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в </w:t>
            </w:r>
            <w:r w:rsidR="009E6A2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30 дней с даты получения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от сетевой организации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заявителем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договора.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Аннулирование заявки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при неполучении сетевой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договора,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но не ранее чем через 60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дней со дня получения от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подписанного заявителем</w:t>
            </w:r>
          </w:p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742404" w:rsidRDefault="00CD2248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CD2248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D2248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Default="00CD2248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стоимости технологического присоединения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Оплата по договору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производится в любом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банке по реквизитам,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указанным в счете на</w:t>
            </w:r>
          </w:p>
          <w:p w:rsidR="00CD2248" w:rsidRPr="00CD2248" w:rsidRDefault="00CD2248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оплату или в квитанции</w:t>
            </w:r>
            <w:r w:rsidR="00F270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2248" w:rsidRPr="00CD2248" w:rsidRDefault="00CD2248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графиком платежей указанном в договоре.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742404" w:rsidRDefault="00F270EF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CD2248" w:rsidRPr="00742404" w:rsidRDefault="00F270EF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 w:rsidR="00C02D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2D87" w:rsidRPr="009043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действующее постановлени</w:t>
            </w:r>
            <w:r w:rsidR="00554169" w:rsidRPr="009043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="00C02D87" w:rsidRPr="0090436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комитета по ценовой и тарифной политике Новгородской области.</w:t>
            </w:r>
          </w:p>
        </w:tc>
      </w:tr>
      <w:tr w:rsidR="00F270EF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Default="00F270EF" w:rsidP="0000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0EF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мероприятий, предусмотренных договором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9E6A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техническими условиями: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технологическому присоединению в пределах границ участка, на котором расположены энергопринимающие устройства заявителя, осуществляются заявителем, а мероприятия по технологическому присоединению до границы участка, на котором расположены энергопринимающие устройства заявителя, включая урегулирование отношений с иными лицами,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ствляются сетевой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0EF" w:rsidRPr="00CD2248" w:rsidRDefault="00F270EF" w:rsidP="009E6A29">
            <w:pPr>
              <w:autoSpaceDE w:val="0"/>
              <w:autoSpaceDN w:val="0"/>
              <w:adjustRightInd w:val="0"/>
              <w:spacing w:after="0" w:line="240" w:lineRule="auto"/>
              <w:ind w:firstLine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5919" w:rsidRDefault="007768E3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необходимости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строительству (реконструкции) объектов электросетевого хозяйства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классом напряжения до 20кВ,  и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>расстояни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 границ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>земельного участка до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385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существующих 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>электрических сетей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300 м в городе или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>500 м в сельской</w:t>
            </w:r>
            <w:r w:rsidR="0029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238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6B6B" w:rsidRPr="00296B6B">
              <w:rPr>
                <w:rFonts w:ascii="Times New Roman" w:hAnsi="Times New Roman" w:cs="Times New Roman"/>
                <w:sz w:val="20"/>
                <w:szCs w:val="20"/>
              </w:rPr>
              <w:t>естности</w:t>
            </w:r>
            <w:r w:rsidR="00D6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919" w:rsidRPr="00D65919">
              <w:rPr>
                <w:rFonts w:ascii="Times New Roman" w:hAnsi="Times New Roman" w:cs="Times New Roman"/>
                <w:sz w:val="20"/>
                <w:szCs w:val="20"/>
              </w:rPr>
              <w:t>для заявителей, максимальная мощность энергопринимающих устройств которых составляет свыше 670 кВт</w:t>
            </w:r>
            <w:r w:rsidR="00D65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5919" w:rsidRDefault="00D65919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D65919">
              <w:rPr>
                <w:rFonts w:ascii="Times New Roman" w:hAnsi="Times New Roman" w:cs="Times New Roman"/>
                <w:sz w:val="20"/>
                <w:szCs w:val="20"/>
              </w:rPr>
              <w:t>1 год - для заявителей, максимальная мощность энергопринимающих устройств которых составляет менее 670 кВт,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</w:t>
            </w:r>
            <w:r w:rsidRPr="00D65919">
              <w:rPr>
                <w:rFonts w:ascii="Times New Roman" w:hAnsi="Times New Roman" w:cs="Times New Roman"/>
                <w:sz w:val="20"/>
                <w:szCs w:val="20"/>
              </w:rPr>
              <w:t>выполнения работ по строительству (реконструкции) объектов электросетевого хозяйства если более короткие сроки не предусмотрены инвестиционной программой соответствующей сетевой организации или соглашением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70EF" w:rsidRPr="00CD2248" w:rsidRDefault="007768E3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768E3">
              <w:rPr>
                <w:rFonts w:ascii="Times New Roman" w:hAnsi="Times New Roman" w:cs="Times New Roman"/>
                <w:sz w:val="20"/>
                <w:szCs w:val="20"/>
              </w:rPr>
              <w:t>2 года - для заявителей,</w:t>
            </w:r>
            <w:r w:rsidR="00D659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68E3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2385" w:rsidRPr="00742404" w:rsidRDefault="003C2385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F270EF" w:rsidRPr="00742404" w:rsidRDefault="003C2385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716B2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B2" w:rsidRDefault="008716B2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B2" w:rsidRDefault="008716B2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сетевую организацию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>проектн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t xml:space="preserve"> на подтверждение ее соответствия техническим условиям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B2" w:rsidRPr="00CD2248" w:rsidRDefault="008716B2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Сетевая организация подтверждает соответствие представленной документации требованиям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технических условий или предоставляют заявителю информацию о несоответствии представленной документации требованиям технических условий.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B2" w:rsidRPr="00CD2248" w:rsidRDefault="008716B2" w:rsidP="0087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Направляется по почте</w:t>
            </w:r>
          </w:p>
          <w:p w:rsidR="008716B2" w:rsidRPr="00CD2248" w:rsidRDefault="008716B2" w:rsidP="0087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либо лично </w:t>
            </w:r>
            <w:r w:rsidR="009E6A2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 xml:space="preserve">ЗАО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«НРЭС».</w:t>
            </w:r>
          </w:p>
          <w:p w:rsidR="008716B2" w:rsidRPr="00CD2248" w:rsidRDefault="008716B2" w:rsidP="00871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16B2" w:rsidRDefault="008716B2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7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подтверждения соответствия </w:t>
            </w:r>
            <w:r w:rsidRPr="008716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требованиям технических условий не должен превышать 10 дней со дня получения сетевой организацией документации от заявителя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0C61" w:rsidRPr="00742404" w:rsidRDefault="005D0C61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  <w:p w:rsidR="008716B2" w:rsidRPr="00742404" w:rsidRDefault="005D0C61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РФ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3557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8716B2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C53557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>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0154" w:rsidRPr="006B66C7" w:rsidRDefault="00C70154" w:rsidP="009E6A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D471BF"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3F" w:rsidRPr="006B66C7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6693F"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 выполнении сетевой организации мероприятий, предусмотренных техническими условиями. </w:t>
            </w:r>
          </w:p>
          <w:p w:rsidR="0056693F" w:rsidRPr="0056693F" w:rsidRDefault="00D471BF" w:rsidP="009E6A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заявителем уведомления</w:t>
            </w:r>
            <w:r w:rsidR="00C7015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70154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C6567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701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НРЭС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необходимыми приложениями) о вы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 xml:space="preserve">полнение </w:t>
            </w:r>
            <w:r w:rsidR="0056693F" w:rsidRPr="0056693F">
              <w:rPr>
                <w:rFonts w:ascii="Times New Roman" w:hAnsi="Times New Roman" w:cs="Times New Roman"/>
                <w:sz w:val="20"/>
                <w:szCs w:val="20"/>
              </w:rPr>
              <w:t>мероприятий, предусмотренных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93F" w:rsidRPr="0056693F">
              <w:rPr>
                <w:rFonts w:ascii="Times New Roman" w:hAnsi="Times New Roman" w:cs="Times New Roman"/>
                <w:sz w:val="20"/>
                <w:szCs w:val="20"/>
              </w:rPr>
              <w:t>техническими условиями</w:t>
            </w:r>
            <w:r w:rsidR="005669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B66C7" w:rsidRDefault="0056693F" w:rsidP="009E6A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56693F">
              <w:rPr>
                <w:rFonts w:ascii="Times New Roman" w:hAnsi="Times New Roman" w:cs="Times New Roman"/>
                <w:sz w:val="20"/>
                <w:szCs w:val="20"/>
              </w:rPr>
              <w:t>Проведение осмотра (обследования) энергопринимающих устройств с участием Заявителя</w:t>
            </w:r>
            <w:r w:rsidR="000074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00741D" w:rsidRPr="0000741D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(вводного устройства, вводного распределительного устройства, главного распределительного щита,</w:t>
            </w:r>
            <w:r w:rsidR="00D4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41D" w:rsidRPr="0000741D">
              <w:rPr>
                <w:rFonts w:ascii="Times New Roman" w:hAnsi="Times New Roman" w:cs="Times New Roman"/>
                <w:sz w:val="20"/>
                <w:szCs w:val="20"/>
              </w:rPr>
              <w:t>узла учета) включительно</w:t>
            </w:r>
            <w:r w:rsidR="00D471BF">
              <w:rPr>
                <w:rFonts w:ascii="Times New Roman" w:hAnsi="Times New Roman" w:cs="Times New Roman"/>
                <w:sz w:val="20"/>
                <w:szCs w:val="20"/>
              </w:rPr>
              <w:t>. Составление</w:t>
            </w:r>
            <w:r w:rsidR="00D65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1BF">
              <w:rPr>
                <w:rFonts w:ascii="Times New Roman" w:hAnsi="Times New Roman" w:cs="Times New Roman"/>
                <w:sz w:val="20"/>
                <w:szCs w:val="20"/>
              </w:rPr>
              <w:t xml:space="preserve"> акта о </w:t>
            </w:r>
            <w:r w:rsidR="009B684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технических условий и акта </w:t>
            </w:r>
            <w:r w:rsidR="00D65919">
              <w:rPr>
                <w:rFonts w:ascii="Times New Roman" w:hAnsi="Times New Roman" w:cs="Times New Roman"/>
                <w:sz w:val="20"/>
                <w:szCs w:val="20"/>
              </w:rPr>
              <w:t xml:space="preserve">допуска </w:t>
            </w:r>
            <w:r w:rsidR="009B6847">
              <w:rPr>
                <w:rFonts w:ascii="Times New Roman" w:hAnsi="Times New Roman" w:cs="Times New Roman"/>
                <w:sz w:val="20"/>
                <w:szCs w:val="20"/>
              </w:rPr>
              <w:t>прибора учета.</w:t>
            </w:r>
            <w:r w:rsidR="006B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6C7" w:rsidRPr="00CD2248" w:rsidRDefault="006B66C7" w:rsidP="009E6A2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6B66C7">
                <w:rPr>
                  <w:rFonts w:ascii="Times New Roman" w:hAnsi="Times New Roman" w:cs="Times New Roman"/>
                  <w:sz w:val="20"/>
                  <w:szCs w:val="20"/>
                </w:rPr>
                <w:t>подпунктом "б" пункта 85</w:t>
              </w:r>
            </w:hyperlink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      </w:r>
            <w:r w:rsidR="001E575D"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Акт о выполнении технических условий подписывается после </w:t>
            </w:r>
            <w:r w:rsidRPr="006B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устранения всех замечаний, направленных сетевой организацией заявителю.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00741D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уведомление по почте, лично </w:t>
            </w:r>
            <w:r w:rsidR="009E6A2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  <w:p w:rsidR="00A13F87" w:rsidRPr="00CD2248" w:rsidRDefault="00A13F87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Default="002B7BE0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осмотра осуществляется в</w:t>
            </w:r>
            <w:r w:rsidR="0000741D"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дней со дня получения</w:t>
            </w:r>
            <w:r w:rsidR="0000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41D"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  <w:r w:rsidR="0000741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1E575D" w:rsidRDefault="001E575D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75D" w:rsidRPr="001E575D" w:rsidRDefault="001E575D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>При выполнении заявителем требований технических условий: сетевая организация в 3-дневный срок составляет и направляет для подписания заявителю подписанный со своей стороны в 2 экземплярах акт о выполнении 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акт допуска прибора учета.</w:t>
            </w:r>
          </w:p>
          <w:p w:rsidR="001E575D" w:rsidRPr="001E575D" w:rsidRDefault="001E575D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5D">
              <w:rPr>
                <w:rFonts w:ascii="Times New Roman" w:hAnsi="Times New Roman" w:cs="Times New Roman"/>
                <w:sz w:val="20"/>
                <w:szCs w:val="20"/>
              </w:rPr>
              <w:t>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</w:t>
            </w:r>
          </w:p>
          <w:p w:rsidR="001E575D" w:rsidRPr="00296B6B" w:rsidRDefault="001E575D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3557" w:rsidRPr="00742404" w:rsidRDefault="00B31501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block_4900" w:history="1">
              <w:r w:rsidR="0000741D">
                <w:rPr>
                  <w:rFonts w:ascii="Times New Roman" w:hAnsi="Times New Roman" w:cs="Times New Roman"/>
                  <w:sz w:val="20"/>
                  <w:szCs w:val="20"/>
                </w:rPr>
                <w:t>Раздел</w:t>
              </w:r>
              <w:r w:rsidR="00C53557" w:rsidRPr="00C53557">
                <w:rPr>
                  <w:rFonts w:ascii="Times New Roman" w:hAnsi="Times New Roman" w:cs="Times New Roman"/>
                  <w:sz w:val="20"/>
                  <w:szCs w:val="20"/>
                </w:rPr>
                <w:t xml:space="preserve"> IX</w:t>
              </w:r>
            </w:hyperlink>
            <w:r w:rsidR="00C53557" w:rsidRPr="00C53557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07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70F65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F65" w:rsidRDefault="008716B2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F65" w:rsidRDefault="00570F65" w:rsidP="009E6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разрешения </w:t>
            </w:r>
            <w:hyperlink r:id="rId6" w:anchor="block_1002" w:history="1">
              <w:r w:rsidRPr="00570F65">
                <w:rPr>
                  <w:rFonts w:ascii="Times New Roman" w:hAnsi="Times New Roman" w:cs="Times New Roman"/>
                  <w:sz w:val="20"/>
                  <w:szCs w:val="20"/>
                </w:rPr>
                <w:t>органа федерального государственного энергетического надзора</w:t>
              </w:r>
            </w:hyperlink>
            <w:r w:rsidRPr="00570F65">
              <w:rPr>
                <w:rFonts w:ascii="Times New Roman" w:hAnsi="Times New Roman" w:cs="Times New Roman"/>
                <w:sz w:val="20"/>
                <w:szCs w:val="20"/>
              </w:rPr>
              <w:t xml:space="preserve"> на допуск к эксплуатации объектов заявителя</w:t>
            </w:r>
            <w:r w:rsidR="009D60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D2" w:rsidRDefault="00F05ED2" w:rsidP="009E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</w:t>
            </w:r>
            <w:hyperlink r:id="rId7" w:anchor="block_1002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орган</w:t>
              </w:r>
              <w:r w:rsidRPr="00570F65">
                <w:rPr>
                  <w:rFonts w:ascii="Times New Roman" w:hAnsi="Times New Roman" w:cs="Times New Roman"/>
                  <w:sz w:val="20"/>
                  <w:szCs w:val="20"/>
                </w:rPr>
                <w:t xml:space="preserve"> федерального государственного энергетического надзора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о получении разрешении на </w:t>
            </w: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допуск к эксплуатации</w:t>
            </w:r>
            <w:r w:rsidR="00DD2064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п. 18(</w:t>
            </w:r>
            <w:proofErr w:type="gramStart"/>
            <w:r w:rsidR="00DD2064">
              <w:rPr>
                <w:rFonts w:ascii="Times New Roman" w:hAnsi="Times New Roman" w:cs="Times New Roman"/>
                <w:sz w:val="20"/>
                <w:szCs w:val="20"/>
              </w:rPr>
              <w:t>1)-</w:t>
            </w:r>
            <w:proofErr w:type="gramEnd"/>
            <w:r w:rsidR="00DD2064">
              <w:rPr>
                <w:rFonts w:ascii="Times New Roman" w:hAnsi="Times New Roman" w:cs="Times New Roman"/>
                <w:sz w:val="20"/>
                <w:szCs w:val="20"/>
              </w:rPr>
              <w:t>18(4) Правил.</w:t>
            </w:r>
          </w:p>
          <w:p w:rsidR="00570F65" w:rsidRDefault="00570F65" w:rsidP="009E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F65" w:rsidRDefault="00570F65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F65" w:rsidRPr="0000741D" w:rsidRDefault="00570F65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5ED2" w:rsidRPr="00742404" w:rsidRDefault="00F05ED2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570F65" w:rsidRDefault="00F05ED2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0741D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41D" w:rsidRDefault="008716B2" w:rsidP="008A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41D" w:rsidRDefault="00DA08C5" w:rsidP="009E6A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08C5" w:rsidRDefault="00DA08C5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Условия выполнения этапа: о</w:t>
            </w:r>
            <w:r w:rsidRPr="00D471BF">
              <w:rPr>
                <w:rFonts w:ascii="Times New Roman" w:hAnsi="Times New Roman" w:cs="Times New Roman"/>
                <w:sz w:val="20"/>
                <w:szCs w:val="20"/>
              </w:rPr>
              <w:t>тсутствие замечаний при проверке выполнения ТУ, наличие подписанного акта о выполнении ТУ (составляются при проверке выполнения заявителем технических условий).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разрешения (у</w:t>
            </w:r>
            <w:r w:rsidRPr="007B55CB">
              <w:rPr>
                <w:rFonts w:ascii="Times New Roman" w:hAnsi="Times New Roman" w:cs="Times New Roman"/>
                <w:sz w:val="20"/>
                <w:szCs w:val="20"/>
              </w:rPr>
              <w:t>ведомление о готовности на ввод в эксплуатацию объектов)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570F65">
              <w:rPr>
                <w:rFonts w:ascii="Times New Roman" w:hAnsi="Times New Roman" w:cs="Times New Roman"/>
                <w:sz w:val="20"/>
                <w:szCs w:val="20"/>
              </w:rPr>
              <w:t>допуск к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hyperlink r:id="rId8" w:anchor="block_1002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органа</w:t>
              </w:r>
              <w:r w:rsidRPr="00570F65">
                <w:rPr>
                  <w:rFonts w:ascii="Times New Roman" w:hAnsi="Times New Roman" w:cs="Times New Roman"/>
                  <w:sz w:val="20"/>
                  <w:szCs w:val="20"/>
                </w:rPr>
                <w:t xml:space="preserve"> федерального государственного энергетического надзора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A08C5" w:rsidRDefault="00DA08C5" w:rsidP="009E6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41D" w:rsidRDefault="00D471BF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по почте, лично </w:t>
            </w:r>
            <w:r w:rsidR="009E6A2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741D" w:rsidRPr="0000741D" w:rsidRDefault="00D471BF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>уведомления от заявителя.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Pr="00DA08C5" w:rsidRDefault="002A5287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00741D" w:rsidRPr="00C53557" w:rsidRDefault="002A5287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8C5">
              <w:rPr>
                <w:rFonts w:ascii="Times New Roman" w:hAnsi="Times New Roman" w:cs="Times New Roman"/>
                <w:sz w:val="20"/>
                <w:szCs w:val="20"/>
              </w:rPr>
              <w:t>Правительства РФ от 27.12.2004 №861.</w:t>
            </w:r>
          </w:p>
        </w:tc>
      </w:tr>
      <w:tr w:rsidR="002A5287" w:rsidRPr="00742404" w:rsidTr="002A52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Default="00570F65" w:rsidP="00DD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0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Default="00BF6502" w:rsidP="009E6A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процедуры технологического присоединения.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Default="00BF6502" w:rsidP="009E6A2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акта о технологическом присоединении, акта выполненных работ.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Default="00BF6502" w:rsidP="00007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уведомление по почте, лично </w:t>
            </w:r>
            <w:r w:rsidR="009E6A29" w:rsidRPr="00CD22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E6A29">
              <w:rPr>
                <w:rFonts w:ascii="Times New Roman" w:hAnsi="Times New Roman" w:cs="Times New Roman"/>
                <w:sz w:val="20"/>
                <w:szCs w:val="20"/>
              </w:rPr>
              <w:t>ЗАО «НРЭС».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5287" w:rsidRPr="0000741D" w:rsidRDefault="00BF6502" w:rsidP="00D86D0F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D20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41D">
              <w:rPr>
                <w:rFonts w:ascii="Times New Roman" w:hAnsi="Times New Roman" w:cs="Times New Roman"/>
                <w:sz w:val="20"/>
                <w:szCs w:val="20"/>
              </w:rPr>
              <w:t xml:space="preserve">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прием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(подач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>) напряжения и мощности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832D4D">
              <w:rPr>
                <w:rFonts w:ascii="Times New Roman" w:hAnsi="Times New Roman" w:cs="Times New Roman"/>
                <w:sz w:val="20"/>
                <w:szCs w:val="20"/>
              </w:rPr>
              <w:t xml:space="preserve"> фиксация коммутационного аппарата в положении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"включено".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502" w:rsidRPr="00742404" w:rsidRDefault="00BF6502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2A5287" w:rsidRPr="00742404" w:rsidRDefault="00BF6502" w:rsidP="0048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27.12.2004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404">
              <w:rPr>
                <w:rFonts w:ascii="Times New Roman" w:hAnsi="Times New Roman" w:cs="Times New Roman"/>
                <w:sz w:val="20"/>
                <w:szCs w:val="20"/>
              </w:rPr>
              <w:t>№861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0436C" w:rsidRDefault="0090436C" w:rsidP="00032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6C" w:rsidRDefault="0090436C" w:rsidP="0090436C">
      <w:pPr>
        <w:rPr>
          <w:rFonts w:ascii="Times New Roman" w:hAnsi="Times New Roman" w:cs="Times New Roman"/>
          <w:sz w:val="24"/>
          <w:szCs w:val="24"/>
        </w:rPr>
      </w:pPr>
    </w:p>
    <w:p w:rsidR="0090436C" w:rsidRPr="0090436C" w:rsidRDefault="0090436C" w:rsidP="0090436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ˡ Правила технологического присоединения </w:t>
      </w:r>
      <w:proofErr w:type="spellStart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энергопринимающих</w:t>
      </w:r>
      <w:proofErr w:type="spellEnd"/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№861.</w:t>
      </w:r>
    </w:p>
    <w:p w:rsidR="0090436C" w:rsidRPr="0090436C" w:rsidRDefault="0090436C" w:rsidP="0090436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10"/>
          <w:szCs w:val="10"/>
          <w:lang w:eastAsia="ru-RU" w:bidi="ru-RU"/>
        </w:rPr>
      </w:pPr>
    </w:p>
    <w:p w:rsidR="0090436C" w:rsidRPr="0090436C" w:rsidRDefault="0090436C" w:rsidP="0090436C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90436C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² Основы функционирования розничных рынков электрической энергии, утвержденные постановлением Правительства РФ от 04.05.2012 № 442.</w:t>
      </w:r>
    </w:p>
    <w:p w:rsidR="0090436C" w:rsidRPr="0090436C" w:rsidRDefault="0090436C" w:rsidP="0090436C">
      <w:pPr>
        <w:widowControl w:val="0"/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</w:p>
    <w:p w:rsidR="0090436C" w:rsidRPr="0090436C" w:rsidRDefault="0090436C" w:rsidP="0090436C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90436C" w:rsidRPr="0090436C" w:rsidRDefault="0090436C" w:rsidP="0090436C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90436C" w:rsidRPr="0090436C" w:rsidRDefault="0090436C" w:rsidP="0090436C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904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90436C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90436C" w:rsidRPr="0090436C" w:rsidRDefault="0090436C" w:rsidP="0090436C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9043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9" w:history="1">
        <w:r w:rsidRPr="0090436C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0328A4" w:rsidRPr="0090436C" w:rsidRDefault="000328A4" w:rsidP="0090436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328A4" w:rsidRPr="0090436C" w:rsidSect="00820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4F80"/>
    <w:multiLevelType w:val="hybridMultilevel"/>
    <w:tmpl w:val="4BD6D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A8691E"/>
    <w:multiLevelType w:val="hybridMultilevel"/>
    <w:tmpl w:val="C3B0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A4"/>
    <w:rsid w:val="00000A6E"/>
    <w:rsid w:val="00001935"/>
    <w:rsid w:val="0000741D"/>
    <w:rsid w:val="000328A4"/>
    <w:rsid w:val="000A6E3F"/>
    <w:rsid w:val="000F69B9"/>
    <w:rsid w:val="001301B2"/>
    <w:rsid w:val="001B154D"/>
    <w:rsid w:val="001E575D"/>
    <w:rsid w:val="0029160D"/>
    <w:rsid w:val="00294FFA"/>
    <w:rsid w:val="00296B6B"/>
    <w:rsid w:val="002A5287"/>
    <w:rsid w:val="002B7BE0"/>
    <w:rsid w:val="00351505"/>
    <w:rsid w:val="00377114"/>
    <w:rsid w:val="003C0A4D"/>
    <w:rsid w:val="003C2385"/>
    <w:rsid w:val="003C6567"/>
    <w:rsid w:val="00400D46"/>
    <w:rsid w:val="00481C2C"/>
    <w:rsid w:val="004C3709"/>
    <w:rsid w:val="004D20E8"/>
    <w:rsid w:val="00547778"/>
    <w:rsid w:val="00554169"/>
    <w:rsid w:val="0056693F"/>
    <w:rsid w:val="00570F65"/>
    <w:rsid w:val="005957C9"/>
    <w:rsid w:val="005D0C61"/>
    <w:rsid w:val="0061450F"/>
    <w:rsid w:val="006B66C7"/>
    <w:rsid w:val="00713EA0"/>
    <w:rsid w:val="00742404"/>
    <w:rsid w:val="007664DF"/>
    <w:rsid w:val="007768E3"/>
    <w:rsid w:val="00781BE8"/>
    <w:rsid w:val="007862FA"/>
    <w:rsid w:val="007B55CB"/>
    <w:rsid w:val="0082096F"/>
    <w:rsid w:val="00832D4D"/>
    <w:rsid w:val="008445D0"/>
    <w:rsid w:val="008716B2"/>
    <w:rsid w:val="008B0BA5"/>
    <w:rsid w:val="0090436C"/>
    <w:rsid w:val="00941255"/>
    <w:rsid w:val="009571BE"/>
    <w:rsid w:val="009A399F"/>
    <w:rsid w:val="009B6847"/>
    <w:rsid w:val="009D605A"/>
    <w:rsid w:val="009E6A29"/>
    <w:rsid w:val="00A13F87"/>
    <w:rsid w:val="00A40255"/>
    <w:rsid w:val="00B31501"/>
    <w:rsid w:val="00B66A67"/>
    <w:rsid w:val="00B73766"/>
    <w:rsid w:val="00BF6502"/>
    <w:rsid w:val="00C02D87"/>
    <w:rsid w:val="00C42292"/>
    <w:rsid w:val="00C53557"/>
    <w:rsid w:val="00C70154"/>
    <w:rsid w:val="00CD2248"/>
    <w:rsid w:val="00D02056"/>
    <w:rsid w:val="00D471BF"/>
    <w:rsid w:val="00D65919"/>
    <w:rsid w:val="00D860B1"/>
    <w:rsid w:val="00D86D0F"/>
    <w:rsid w:val="00DA08C5"/>
    <w:rsid w:val="00DB11C4"/>
    <w:rsid w:val="00DB553D"/>
    <w:rsid w:val="00DD2064"/>
    <w:rsid w:val="00DF7E11"/>
    <w:rsid w:val="00E33037"/>
    <w:rsid w:val="00E62FF9"/>
    <w:rsid w:val="00EF07E6"/>
    <w:rsid w:val="00F05926"/>
    <w:rsid w:val="00F05ED2"/>
    <w:rsid w:val="00F13061"/>
    <w:rsid w:val="00F270EF"/>
    <w:rsid w:val="00F35094"/>
    <w:rsid w:val="00F40F8C"/>
    <w:rsid w:val="00F433D1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63D7-374F-413F-827D-09C01E3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2">
    <w:name w:val="s_12"/>
    <w:basedOn w:val="a"/>
    <w:rsid w:val="00294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40255"/>
    <w:pPr>
      <w:ind w:left="720"/>
      <w:contextualSpacing/>
    </w:pPr>
  </w:style>
  <w:style w:type="paragraph" w:customStyle="1" w:styleId="ConsPlusNormal">
    <w:name w:val="ConsPlusNormal"/>
    <w:rsid w:val="006B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9571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9571BE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7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9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8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00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53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764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33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1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56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0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19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192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192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877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xn--m1agd1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Noke</Company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Кирилл Анатольевич</dc:creator>
  <cp:lastModifiedBy>Николай Сергеевич Макайда</cp:lastModifiedBy>
  <cp:revision>26</cp:revision>
  <cp:lastPrinted>2017-07-19T11:04:00Z</cp:lastPrinted>
  <dcterms:created xsi:type="dcterms:W3CDTF">2017-05-24T08:12:00Z</dcterms:created>
  <dcterms:modified xsi:type="dcterms:W3CDTF">2017-10-22T23:07:00Z</dcterms:modified>
</cp:coreProperties>
</file>